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Pr="004A2328" w:rsidRDefault="00AD13C8" w:rsidP="006609C0">
      <w:pPr>
        <w:pStyle w:val="Heading2"/>
        <w:numPr>
          <w:ilvl w:val="1"/>
          <w:numId w:val="9"/>
        </w:numPr>
      </w:pPr>
      <w:bookmarkStart w:id="0" w:name="_GoBack"/>
      <w:bookmarkEnd w:id="0"/>
      <w:r>
        <w:t>Intervenții sectorul fructelor ș</w:t>
      </w:r>
      <w:r w:rsidR="00DB71B6">
        <w:t>i legumelor</w:t>
      </w:r>
    </w:p>
    <w:p w:rsidR="00802753" w:rsidRPr="004A2328" w:rsidRDefault="00802753" w:rsidP="00A0391A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jc w:val="center"/>
        <w:rPr>
          <w:color w:val="1F497D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 w:rsidRPr="00B93D26">
              <w:t>Codul 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683D11" w:rsidRPr="004A2328" w:rsidTr="002D566E">
        <w:trPr>
          <w:trHeight w:val="782"/>
        </w:trPr>
        <w:tc>
          <w:tcPr>
            <w:tcW w:w="3145" w:type="dxa"/>
          </w:tcPr>
          <w:p w:rsidR="00037C83" w:rsidRDefault="00037C83" w:rsidP="00037C83">
            <w:pPr>
              <w:spacing w:before="60" w:after="60"/>
              <w:jc w:val="left"/>
            </w:pPr>
            <w:r w:rsidRPr="00B93D26">
              <w:t>Denumirea intervenției</w:t>
            </w:r>
          </w:p>
          <w:p w:rsidR="00683D11" w:rsidRPr="008A16BF" w:rsidRDefault="00683D11" w:rsidP="00037C83">
            <w:pPr>
              <w:spacing w:before="60" w:after="60"/>
              <w:jc w:val="left"/>
              <w:rPr>
                <w:highlight w:val="yellow"/>
              </w:rPr>
            </w:pPr>
          </w:p>
        </w:tc>
        <w:tc>
          <w:tcPr>
            <w:tcW w:w="6519" w:type="dxa"/>
          </w:tcPr>
          <w:p w:rsidR="00683D11" w:rsidRPr="00037C83" w:rsidRDefault="00037C83" w:rsidP="0045295F">
            <w:pPr>
              <w:spacing w:before="60" w:after="60"/>
              <w:rPr>
                <w:lang w:val="ro-RO"/>
              </w:rPr>
            </w:pPr>
            <w:r w:rsidRPr="00187CB2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Intervenții în sectorul fructelor</w:t>
            </w:r>
            <w:r w:rsidRPr="00B93D26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187CB2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și legumelor</w:t>
            </w:r>
            <w:r w:rsidR="00B93D26" w:rsidRPr="00B93D26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B93D26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>–</w:t>
            </w:r>
            <w:r w:rsidR="00B93D26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037C83">
              <w:rPr>
                <w:rStyle w:val="Bodytext2Bold"/>
                <w:rFonts w:ascii="Times New Roman" w:hAnsi="Times New Roman" w:cs="Times New Roman"/>
                <w:noProof/>
                <w:sz w:val="24"/>
                <w:lang w:val="ro-RO"/>
              </w:rPr>
              <w:t>Cercetare și dezvoltare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r w:rsidRPr="0026386E">
              <w:rPr>
                <w:color w:val="000000" w:themeColor="text1"/>
                <w:lang w:eastAsia="en-US"/>
              </w:rPr>
              <w:t>Codul bugetului de intervenț</w:t>
            </w:r>
            <w:r w:rsidR="00D42458" w:rsidRPr="0026386E">
              <w:rPr>
                <w:color w:val="000000" w:themeColor="text1"/>
                <w:lang w:eastAsia="en-US"/>
              </w:rPr>
              <w:t>ie</w:t>
            </w:r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>FEGA – Fondul European de Garantare Agricola</w:t>
            </w:r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3976EF" w:rsidRDefault="00802753" w:rsidP="003976EF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sau domeniul teritorial se aplicare?</w:t>
            </w:r>
          </w:p>
          <w:p w:rsidR="00802753" w:rsidRPr="004A2328" w:rsidRDefault="00802753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>Se</w:t>
            </w:r>
            <w:r w:rsidR="00187CB2">
              <w:rPr>
                <w:color w:val="000000" w:themeColor="text1"/>
                <w:lang w:eastAsia="en-US"/>
              </w:rPr>
              <w:t>ctorul fructe-legume</w:t>
            </w:r>
            <w:r w:rsidR="000F454F" w:rsidRPr="003976EF">
              <w:rPr>
                <w:color w:val="000000" w:themeColor="text1"/>
                <w:lang w:eastAsia="en-US"/>
              </w:rPr>
              <w:t>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r w:rsidRPr="002C4470">
              <w:t>Tipul de intervenț</w:t>
            </w:r>
            <w:r w:rsidR="00D42458" w:rsidRPr="002C4470">
              <w:t>ie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2A245E" w:rsidRPr="004A2328" w:rsidRDefault="001F501E" w:rsidP="00F4106E">
            <w:pPr>
              <w:spacing w:after="60"/>
              <w:rPr>
                <w:color w:val="1F497D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Interven</w:t>
            </w:r>
            <w:r>
              <w:rPr>
                <w:color w:val="000000" w:themeColor="text1"/>
                <w:lang w:val="ro-RO" w:eastAsia="en-US"/>
              </w:rPr>
              <w:t>ția care vizează cercetarea și dezvoltarea corespunde intervențiilor de la art. 47 alin. (1) lit. a)</w:t>
            </w:r>
            <w:r>
              <w:rPr>
                <w:color w:val="FF0000"/>
                <w:lang w:val="ro-RO" w:eastAsia="en-US"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 xml:space="preserve">din Regulamentul (UE) nr. 2115/2021. 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>Indicator de realizare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187CB2">
              <w:rPr>
                <w:b/>
                <w:color w:val="000000" w:themeColor="text1"/>
                <w:lang w:eastAsia="en-US"/>
              </w:rPr>
              <w:t>O35</w:t>
            </w:r>
            <w:r w:rsidR="00CD5332" w:rsidRPr="00187CB2">
              <w:rPr>
                <w:b/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187CB2">
              <w:rPr>
                <w:noProof/>
              </w:rPr>
              <w:t>peraționale finantate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703CE5" w:rsidRDefault="00703CE5" w:rsidP="0004719D">
      <w:pPr>
        <w:pStyle w:val="Text3"/>
        <w:ind w:left="0"/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6609C0" w:rsidRDefault="006609C0" w:rsidP="001C216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r w:rsidRPr="006609C0">
        <w:rPr>
          <w:b/>
          <w:color w:val="000000" w:themeColor="text1"/>
        </w:rPr>
        <w:t xml:space="preserve">1.1.1 </w:t>
      </w:r>
      <w:r w:rsidR="001C216F" w:rsidRPr="006609C0">
        <w:rPr>
          <w:b/>
          <w:color w:val="000000" w:themeColor="text1"/>
        </w:rPr>
        <w:t>Domeniul teritorial de aplicare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CE7B59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000000" w:themeColor="text1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</w:t>
      </w:r>
      <w:r w:rsidRPr="00CE7B59">
        <w:rPr>
          <w:color w:val="000000" w:themeColor="text1"/>
        </w:rPr>
        <w:t xml:space="preserve">○ </w:t>
      </w:r>
      <w:r w:rsidRPr="00CE7B59">
        <w:rPr>
          <w:rFonts w:asciiTheme="minorHAnsi" w:hAnsiTheme="minorHAnsi"/>
          <w:color w:val="000000" w:themeColor="text1"/>
        </w:rPr>
        <w:t>National</w:t>
      </w:r>
      <w:r w:rsidRPr="00CE7B59">
        <w:rPr>
          <w:color w:val="000000" w:themeColor="text1"/>
        </w:rPr>
        <w:t xml:space="preserve"> </w:t>
      </w:r>
      <w:r w:rsidRPr="00CE7B59">
        <w:rPr>
          <w:color w:val="000000" w:themeColor="text1"/>
        </w:rPr>
        <w:tab/>
        <w:t>○ Regional</w:t>
      </w:r>
      <w:r w:rsidRPr="00CE7B59">
        <w:rPr>
          <w:color w:val="000000" w:themeColor="text1"/>
        </w:rPr>
        <w:tab/>
        <w:t>○ National with regional elements</w:t>
      </w:r>
      <w:r w:rsidRPr="00CE7B59">
        <w:rPr>
          <w:color w:val="000000" w:themeColor="text1"/>
        </w:rPr>
        <w:tab/>
        <w:t xml:space="preserve">○ Transnational </w:t>
      </w:r>
      <w:r w:rsidRPr="00CE7B59">
        <w:rPr>
          <w:color w:val="000000" w:themeColor="text1"/>
        </w:rPr>
        <w:tab/>
      </w:r>
    </w:p>
    <w:p w:rsidR="00802753" w:rsidRDefault="00B04DC3" w:rsidP="00802753">
      <w:pPr>
        <w:pStyle w:val="Text4"/>
        <w:spacing w:after="120"/>
        <w:ind w:left="0"/>
        <w:rPr>
          <w:color w:val="000000" w:themeColor="text1"/>
        </w:rPr>
      </w:pPr>
      <w:r w:rsidRPr="00CE7B59">
        <w:rPr>
          <w:color w:val="000000" w:themeColor="text1"/>
        </w:rPr>
        <w:t>S</w:t>
      </w:r>
      <w:r w:rsidR="00A64D31" w:rsidRPr="00CE7B59">
        <w:rPr>
          <w:color w:val="000000" w:themeColor="text1"/>
        </w:rPr>
        <w:t>electare National cu elemente regionale</w:t>
      </w:r>
      <w:r w:rsidRPr="00CE7B59">
        <w:rPr>
          <w:color w:val="000000" w:themeColor="text1"/>
        </w:rPr>
        <w:t xml:space="preserve"> </w:t>
      </w:r>
      <w:r w:rsidR="001F501E">
        <w:rPr>
          <w:color w:val="000000" w:themeColor="text1"/>
        </w:rPr>
        <w:t>–</w:t>
      </w:r>
      <w:r w:rsidRPr="00CE7B59">
        <w:rPr>
          <w:color w:val="000000" w:themeColor="text1"/>
        </w:rPr>
        <w:t xml:space="preserve"> NUTS</w:t>
      </w:r>
    </w:p>
    <w:p w:rsidR="00802753" w:rsidRPr="004A2328" w:rsidRDefault="001F501E" w:rsidP="001F501E">
      <w:pPr>
        <w:pStyle w:val="Text4"/>
        <w:spacing w:after="120"/>
        <w:ind w:left="0"/>
      </w:pPr>
      <w:r>
        <w:rPr>
          <w:color w:val="000000" w:themeColor="text1"/>
        </w:rPr>
        <w:t>Național</w:t>
      </w:r>
    </w:p>
    <w:p w:rsidR="00703CE5" w:rsidRDefault="00703CE5" w:rsidP="00802753">
      <w:pPr>
        <w:pStyle w:val="Text4"/>
        <w:spacing w:before="120" w:after="120"/>
        <w:ind w:left="0"/>
      </w:pPr>
    </w:p>
    <w:p w:rsidR="00EF00D7" w:rsidRDefault="00EF00D7" w:rsidP="00802753">
      <w:pPr>
        <w:pStyle w:val="Text4"/>
        <w:spacing w:before="120" w:after="120"/>
        <w:ind w:left="0"/>
      </w:pPr>
      <w:r w:rsidRPr="004376E7">
        <w:t>Descrierea domeniului territorial de aplicare -</w:t>
      </w:r>
      <w:r w:rsidR="00BE2AF5" w:rsidRPr="004376E7">
        <w:t xml:space="preserve"> </w:t>
      </w:r>
      <w:r w:rsidRPr="004376E7">
        <w:t>scop</w:t>
      </w:r>
    </w:p>
    <w:p w:rsidR="008E4DF7" w:rsidRPr="008E4DF7" w:rsidRDefault="00005274" w:rsidP="008E4DF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005274">
        <w:rPr>
          <w:color w:val="000000" w:themeColor="text1"/>
        </w:rPr>
        <w:t>Scopul intervenției este de a dezvolta cercetarea</w:t>
      </w:r>
      <w:r w:rsidR="008E4DF7" w:rsidRPr="008E4DF7">
        <w:rPr>
          <w:color w:val="000000" w:themeColor="text1"/>
        </w:rPr>
        <w:t xml:space="preserve"> </w:t>
      </w:r>
      <w:r w:rsidR="008E4DF7">
        <w:rPr>
          <w:color w:val="000000" w:themeColor="text1"/>
        </w:rPr>
        <w:t>care să asigure folosirea de metode de producție durabile, inclusiv în ceea ce privește rezistența la boli și dăunători</w:t>
      </w:r>
      <w:r w:rsidR="008E4DF7">
        <w:rPr>
          <w:i/>
          <w:color w:val="000000" w:themeColor="text1"/>
        </w:rPr>
        <w:t xml:space="preserve">, </w:t>
      </w:r>
      <w:r w:rsidR="008E4DF7">
        <w:rPr>
          <w:color w:val="000000" w:themeColor="text1"/>
        </w:rPr>
        <w:t>precum și atenuarea schimbărilor climatice și adaptarea la acestea</w:t>
      </w:r>
      <w:r w:rsidR="008E4DF7">
        <w:rPr>
          <w:i/>
          <w:color w:val="000000" w:themeColor="text1"/>
        </w:rPr>
        <w:t xml:space="preserve">, </w:t>
      </w:r>
      <w:r w:rsidR="008E4DF7">
        <w:rPr>
          <w:color w:val="000000" w:themeColor="text1"/>
        </w:rPr>
        <w:t>și a unor practici și tehnici de producție inovatoare care să stimuleze competitivitatea economică și să consolideze evoluțiile pieței.</w:t>
      </w:r>
      <w:r w:rsidRPr="00005274">
        <w:rPr>
          <w:color w:val="000000" w:themeColor="text1"/>
        </w:rPr>
        <w:t xml:space="preserve"> </w:t>
      </w: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</w:p>
    <w:p w:rsidR="008E4DF7" w:rsidRDefault="008E4DF7" w:rsidP="006A54BC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</w:p>
    <w:p w:rsidR="00E813F3" w:rsidRPr="00005274" w:rsidRDefault="006609C0" w:rsidP="006A54BC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  <w:r>
        <w:rPr>
          <w:b/>
        </w:rPr>
        <w:t xml:space="preserve">1.1.2 </w:t>
      </w:r>
      <w:r w:rsidR="00E813F3" w:rsidRPr="00005274">
        <w:rPr>
          <w:b/>
        </w:rPr>
        <w:t>Obiective specific</w:t>
      </w:r>
      <w:r w:rsidR="00005274" w:rsidRPr="00005274">
        <w:rPr>
          <w:b/>
        </w:rPr>
        <w:t>e</w:t>
      </w:r>
      <w:r w:rsidR="00E813F3" w:rsidRPr="00005274">
        <w:rPr>
          <w:b/>
        </w:rPr>
        <w:t xml:space="preserve"> conexe, obiectivul transversal si obiectivele sectoriale relevante</w:t>
      </w:r>
      <w:r w:rsidR="006A54BC" w:rsidRPr="00005274">
        <w:rPr>
          <w:b/>
        </w:rPr>
        <w:t>.</w:t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:rsidR="00E813F3" w:rsidRPr="00703CE5" w:rsidRDefault="00E813F3" w:rsidP="00703CE5">
      <w:pPr>
        <w:pStyle w:val="Text3"/>
        <w:ind w:left="0"/>
        <w:contextualSpacing/>
      </w:pPr>
    </w:p>
    <w:p w:rsidR="00617258" w:rsidRPr="00617258" w:rsidRDefault="00356759" w:rsidP="00356759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noProof/>
          <w:color w:val="000000" w:themeColor="text1"/>
          <w:lang w:val="ro-RO" w:eastAsia="ro-RO"/>
        </w:rPr>
      </w:pPr>
      <w:r w:rsidRPr="001D3B37">
        <w:rPr>
          <w:b/>
          <w:noProof/>
          <w:color w:val="000000" w:themeColor="text1"/>
          <w:lang w:val="ro-RO" w:eastAsia="ro-RO"/>
        </w:rPr>
        <w:t>Obiectiv General  1</w:t>
      </w:r>
      <w:r>
        <w:rPr>
          <w:noProof/>
          <w:color w:val="000000" w:themeColor="text1"/>
          <w:lang w:val="ro-RO" w:eastAsia="ro-RO"/>
        </w:rPr>
        <w:t>-</w:t>
      </w:r>
      <w:r w:rsidRPr="00DF4A73">
        <w:rPr>
          <w:noProof/>
          <w:color w:val="000000" w:themeColor="text1"/>
          <w:lang w:val="ro-RO" w:eastAsia="ro-RO"/>
        </w:rPr>
        <w:t xml:space="preserve"> Promovarea unui sector agricol inteligent, rezilient și diversificat care să asigure securitatea alimentară</w:t>
      </w:r>
      <w:r>
        <w:rPr>
          <w:noProof/>
          <w:color w:val="000000" w:themeColor="text1"/>
          <w:lang w:val="ro-RO" w:eastAsia="ro-RO"/>
        </w:rPr>
        <w:t xml:space="preserve"> (art. 5 lit. a).</w:t>
      </w:r>
    </w:p>
    <w:p w:rsidR="00617258" w:rsidRPr="00833982" w:rsidRDefault="00617258" w:rsidP="00617258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b/>
          <w:color w:val="000000" w:themeColor="text1"/>
        </w:rPr>
      </w:pPr>
      <w:r w:rsidRPr="00833982">
        <w:rPr>
          <w:b/>
          <w:noProof/>
          <w:color w:val="000000" w:themeColor="text1"/>
          <w:lang w:val="ro-RO" w:eastAsia="ro-RO"/>
        </w:rPr>
        <w:lastRenderedPageBreak/>
        <w:t>Obiectiv Specific 1</w:t>
      </w:r>
      <w:r w:rsidRPr="00103CBE">
        <w:rPr>
          <w:color w:val="000000" w:themeColor="text1"/>
        </w:rPr>
        <w:t xml:space="preserve"> Sprijinirea veniturilor agricole durabile și a rezistenței în întreaga Uniune pentru a îmbunătății securitatea alimentară [obiectiv specific care se regăsește la art.6 alin.(1) lit. a)].</w:t>
      </w:r>
    </w:p>
    <w:p w:rsidR="00356759" w:rsidRDefault="00356759" w:rsidP="00356759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r w:rsidRPr="00833982">
        <w:rPr>
          <w:b/>
        </w:rPr>
        <w:t xml:space="preserve">Obiectiv Specific </w:t>
      </w:r>
      <w:r w:rsidR="00373B1F" w:rsidRPr="00833982">
        <w:rPr>
          <w:b/>
        </w:rPr>
        <w:t>3</w:t>
      </w:r>
      <w:r>
        <w:t xml:space="preserve"> -Îmbunătățirea poziției fermierilor în cadrul lanțului valoric [obiectiv specific care se regăsește la art.6 alin.(1) lit. c)].</w:t>
      </w:r>
    </w:p>
    <w:p w:rsidR="00356759" w:rsidRDefault="00356759" w:rsidP="00356759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r w:rsidRPr="00833982">
        <w:rPr>
          <w:b/>
        </w:rPr>
        <w:t>Obiectiv S</w:t>
      </w:r>
      <w:r w:rsidR="00373B1F" w:rsidRPr="00833982">
        <w:rPr>
          <w:b/>
        </w:rPr>
        <w:t>pecific 2</w:t>
      </w:r>
      <w:r>
        <w:t xml:space="preserve">- </w:t>
      </w:r>
      <w:r w:rsidRPr="00C150DE">
        <w:rPr>
          <w:noProof/>
          <w:color w:val="000000" w:themeColor="text1"/>
          <w:lang w:val="ro-RO"/>
        </w:rPr>
        <w:t>Consolidarea orientării către piață și creșterea competitivității</w:t>
      </w:r>
      <w:r w:rsidRPr="00C150DE">
        <w:t>[obiectiv specific care se re</w:t>
      </w:r>
      <w:r>
        <w:t>găsește la art.6 alin.(1) lit. b</w:t>
      </w:r>
      <w:r w:rsidRPr="00C150DE">
        <w:t>)].</w:t>
      </w:r>
    </w:p>
    <w:p w:rsidR="00617258" w:rsidRDefault="00373B1F" w:rsidP="00356759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r w:rsidRPr="00833982">
        <w:rPr>
          <w:b/>
        </w:rPr>
        <w:t>Obiectiv Specific 9</w:t>
      </w:r>
      <w:r w:rsidR="00617258">
        <w:t xml:space="preserve"> -Îmbunătățirea raspunsului dat de agricultura Uniunii exigențelor societale referitoare la hrană și la sănătate, inclusiv la alimentele de înaltă calitate, sigure și hrănitoare produse într-un mod durabil, reducerea deșeurilor alimentare.</w:t>
      </w:r>
    </w:p>
    <w:p w:rsidR="00356759" w:rsidRPr="00C150DE" w:rsidRDefault="00356759" w:rsidP="00356759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r>
        <w:t>Intervenția are ca obiectiv sectorial</w:t>
      </w:r>
      <w:r>
        <w:rPr>
          <w:lang w:val="en-US"/>
        </w:rPr>
        <w:t>:</w:t>
      </w:r>
      <w:r>
        <w:t xml:space="preserve"> </w:t>
      </w:r>
      <w:r w:rsidRPr="000C28BA">
        <w:rPr>
          <w:i/>
        </w:rPr>
        <w:t>„</w:t>
      </w:r>
      <w:r w:rsidRPr="000D4F3D">
        <w:t xml:space="preserve">cercetarea și dezvoltarea unor metode de producție durabile, inclusiv </w:t>
      </w:r>
      <w:r>
        <w:t>în ceea ce privește</w:t>
      </w:r>
      <w:r w:rsidRPr="000D4F3D">
        <w:t xml:space="preserve"> rezistenț</w:t>
      </w:r>
      <w:r>
        <w:t>a la dăunători</w:t>
      </w:r>
      <w:r w:rsidRPr="000D4F3D">
        <w:rPr>
          <w:b/>
          <w:i/>
          <w:color w:val="000000"/>
        </w:rPr>
        <w:t>, precum și a</w:t>
      </w:r>
      <w:r>
        <w:rPr>
          <w:b/>
          <w:i/>
          <w:color w:val="000000"/>
        </w:rPr>
        <w:t xml:space="preserve">tenuarea </w:t>
      </w:r>
      <w:r w:rsidRPr="000D4F3D">
        <w:rPr>
          <w:b/>
          <w:i/>
          <w:color w:val="000000"/>
        </w:rPr>
        <w:t xml:space="preserve"> schimbăril</w:t>
      </w:r>
      <w:r>
        <w:rPr>
          <w:b/>
          <w:i/>
          <w:color w:val="000000"/>
        </w:rPr>
        <w:t>or</w:t>
      </w:r>
      <w:r w:rsidRPr="000D4F3D">
        <w:rPr>
          <w:b/>
          <w:i/>
          <w:color w:val="000000"/>
        </w:rPr>
        <w:t xml:space="preserve"> climatice și adapt</w:t>
      </w:r>
      <w:r>
        <w:rPr>
          <w:b/>
          <w:i/>
          <w:color w:val="000000"/>
        </w:rPr>
        <w:t>area</w:t>
      </w:r>
      <w:r w:rsidRPr="000D4F3D">
        <w:rPr>
          <w:b/>
          <w:i/>
          <w:color w:val="000000"/>
        </w:rPr>
        <w:t xml:space="preserve"> la acestea, </w:t>
      </w:r>
      <w:r w:rsidRPr="000D4F3D">
        <w:t xml:space="preserve">și a unor practici </w:t>
      </w:r>
      <w:r w:rsidRPr="000D4F3D">
        <w:rPr>
          <w:b/>
          <w:i/>
          <w:color w:val="000000"/>
        </w:rPr>
        <w:t>și tehnici de producție</w:t>
      </w:r>
      <w:r w:rsidRPr="000D4F3D">
        <w:t xml:space="preserve"> inovatoare care să stimuleze competitivitatea economică și să consolideze evoluțiile pieței; aceste obiective sunt legate de obiectivele specifice prevăzute</w:t>
      </w:r>
      <w:r w:rsidRPr="000C28BA">
        <w:rPr>
          <w:i/>
          <w:lang w:val="en-US"/>
        </w:rPr>
        <w:t>”</w:t>
      </w:r>
      <w:r>
        <w:t xml:space="preserve">( art. 46 lit. d) din proiectul de Regulament privind planurile strategice. </w:t>
      </w:r>
    </w:p>
    <w:p w:rsidR="00503C9A" w:rsidRDefault="00532D76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r>
        <w:t>Acest obiectiv este legat</w:t>
      </w:r>
      <w:r w:rsidR="00044287">
        <w:t xml:space="preserve"> de obiectivele specifice prevazute la a</w:t>
      </w:r>
      <w:r w:rsidR="00356759">
        <w:t>rticolul 6 literele a), b), c) ș</w:t>
      </w:r>
      <w:r w:rsidR="00044287">
        <w:t>i i).</w:t>
      </w:r>
      <w:r w:rsidR="00802753">
        <w:tab/>
      </w:r>
      <w:r w:rsidR="00802753">
        <w:tab/>
      </w:r>
    </w:p>
    <w:p w:rsidR="00503C9A" w:rsidRPr="006609C0" w:rsidRDefault="006609C0" w:rsidP="00503C9A">
      <w:pPr>
        <w:pStyle w:val="Heading3"/>
        <w:numPr>
          <w:ilvl w:val="0"/>
          <w:numId w:val="0"/>
        </w:numPr>
        <w:ind w:left="737" w:hanging="737"/>
        <w:rPr>
          <w:b/>
          <w:lang w:val="ro-RO"/>
        </w:r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  <w:r w:rsidRPr="006609C0">
        <w:rPr>
          <w:b/>
        </w:rPr>
        <w:t xml:space="preserve">1.1.3 </w:t>
      </w:r>
      <w:r w:rsidR="00F20951" w:rsidRPr="006609C0">
        <w:rPr>
          <w:b/>
        </w:rPr>
        <w:t>Nevoile la care răspunde intervenția sau abordate prin această intervenție</w:t>
      </w:r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Susținerea dezvoltării viabile a lanțurilor scurte alimentare, inclusiv a sistemelor de colectare și depozitare.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Sprijinirea dezvo</w:t>
      </w:r>
      <w:r w:rsidR="008A16BF">
        <w:t>ltării modelelor de producție bazate pe valoarea adaugată</w:t>
      </w:r>
      <w:r>
        <w:t xml:space="preserve"> mare</w:t>
      </w:r>
      <w:r w:rsidR="008A16BF">
        <w:t xml:space="preserve"> (sisteme de calitate europene și naț</w:t>
      </w:r>
      <w:r>
        <w:t>ionale)</w:t>
      </w:r>
      <w:r w:rsidR="008A16BF">
        <w:t>.</w:t>
      </w:r>
    </w:p>
    <w:p w:rsidR="005C5C84" w:rsidRDefault="008A16BF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Nevoia de creștere a cooperării î</w:t>
      </w:r>
      <w:r w:rsidR="005C5C84">
        <w:t xml:space="preserve">ntre actorii </w:t>
      </w:r>
      <w:r>
        <w:t>implicați</w:t>
      </w:r>
      <w:r w:rsidR="005C5C84">
        <w:t xml:space="preserve"> </w:t>
      </w:r>
      <w:r>
        <w:t>în lanțul alimentar și î</w:t>
      </w:r>
      <w:r w:rsidR="005C5C84">
        <w:t>ncurajarea investi</w:t>
      </w:r>
      <w:r>
        <w:t>ț</w:t>
      </w:r>
      <w:r w:rsidR="005C5C84">
        <w:t xml:space="preserve">ilor </w:t>
      </w:r>
      <w:r>
        <w:t>col</w:t>
      </w:r>
      <w:r w:rsidR="005C5C84">
        <w:t>ective</w:t>
      </w:r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</w:t>
      </w:r>
      <w:r w:rsidR="008A16BF">
        <w:t xml:space="preserve"> Î</w:t>
      </w:r>
      <w:r>
        <w:t>ncurajarea con</w:t>
      </w:r>
      <w:r w:rsidR="008A16BF">
        <w:t>sumului de produse autohtone și dezvoltarea de pieț</w:t>
      </w:r>
      <w:r>
        <w:t>e locale</w:t>
      </w:r>
      <w:r w:rsidR="008A16BF">
        <w:t>.</w:t>
      </w:r>
    </w:p>
    <w:p w:rsidR="00B043FD" w:rsidRPr="008A16BF" w:rsidRDefault="005C5C84" w:rsidP="008A16B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r w:rsidR="008A16BF">
        <w:t>Creșterea competitivității și sustenabilității a sectorului pomicol ș</w:t>
      </w:r>
      <w:r>
        <w:t>i legumicol</w:t>
      </w:r>
      <w:r w:rsidR="008A16BF">
        <w:t>.</w:t>
      </w: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</w:p>
    <w:p w:rsidR="00B043FD" w:rsidRPr="00CA6D10" w:rsidRDefault="00B043FD" w:rsidP="00B525B7">
      <w:pPr>
        <w:pStyle w:val="Heading3"/>
        <w:numPr>
          <w:ilvl w:val="0"/>
          <w:numId w:val="0"/>
        </w:numPr>
      </w:pPr>
    </w:p>
    <w:p w:rsidR="00802753" w:rsidRPr="006609C0" w:rsidRDefault="006609C0" w:rsidP="00B525B7">
      <w:pPr>
        <w:pStyle w:val="Heading3"/>
        <w:numPr>
          <w:ilvl w:val="0"/>
          <w:numId w:val="0"/>
        </w:numPr>
        <w:rPr>
          <w:b/>
        </w:rPr>
      </w:pPr>
      <w:r w:rsidRPr="006609C0">
        <w:rPr>
          <w:b/>
        </w:rPr>
        <w:t xml:space="preserve">1.1.4 </w:t>
      </w:r>
      <w:r w:rsidR="00AD13C8" w:rsidRPr="006609C0">
        <w:rPr>
          <w:b/>
        </w:rPr>
        <w:t xml:space="preserve">Indicatori de rezultat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631440" w:rsidRPr="006609C0">
        <w:rPr>
          <w:b/>
        </w:rPr>
        <w:t xml:space="preserve"> </w:t>
      </w:r>
    </w:p>
    <w:p w:rsidR="00802753" w:rsidRDefault="00B525B7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D4326D">
        <w:rPr>
          <w:b/>
          <w:noProof/>
        </w:rPr>
        <w:t>R.10</w:t>
      </w:r>
      <w:r>
        <w:rPr>
          <w:noProof/>
        </w:rPr>
        <w:t xml:space="preserve"> </w:t>
      </w:r>
      <w:r w:rsidR="0032196B">
        <w:rPr>
          <w:noProof/>
        </w:rPr>
        <w:t>Mai buna</w:t>
      </w:r>
      <w:r w:rsidRPr="002B4016">
        <w:rPr>
          <w:noProof/>
        </w:rPr>
        <w:t xml:space="preserve"> organizare a lanțului de aprovizionare: </w:t>
      </w:r>
      <w:r w:rsidR="0032196B">
        <w:rPr>
          <w:noProof/>
        </w:rPr>
        <w:t>ponderea fermelor</w:t>
      </w:r>
      <w:r w:rsidRPr="002B4016">
        <w:rPr>
          <w:noProof/>
        </w:rPr>
        <w:t xml:space="preserve"> care participă la grupuri de producători, organizații de producători, piețe locale, lanțuri scurte de aprovizionare și sisteme de calit</w:t>
      </w:r>
      <w:r w:rsidR="0032196B">
        <w:rPr>
          <w:noProof/>
        </w:rPr>
        <w:t>ate sprijinite de PAC.</w:t>
      </w:r>
    </w:p>
    <w:p w:rsidR="00C150DE" w:rsidRPr="00C148FA" w:rsidRDefault="00C148FA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lang w:val="ro-RO"/>
        </w:rPr>
      </w:pPr>
      <w:r w:rsidRPr="00D4326D">
        <w:rPr>
          <w:b/>
          <w:noProof/>
        </w:rPr>
        <w:t>R.11</w:t>
      </w:r>
      <w:r>
        <w:rPr>
          <w:noProof/>
        </w:rPr>
        <w:t xml:space="preserve"> Concentrarea ofertei</w:t>
      </w:r>
      <w:r>
        <w:rPr>
          <w:noProof/>
          <w:lang w:val="en-US"/>
        </w:rPr>
        <w:t>: ponderea valorii producției comercializate de grupuri de producători sau organizații de producători  sectoriale prin intermediul unor programe operaționale.</w:t>
      </w:r>
      <w:r w:rsidR="00C150DE">
        <w:rPr>
          <w:noProof/>
        </w:rPr>
        <w:t xml:space="preserve"> </w:t>
      </w:r>
    </w:p>
    <w:p w:rsidR="00802753" w:rsidRPr="006609C0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lastRenderedPageBreak/>
        <w:t xml:space="preserve">           </w:t>
      </w:r>
      <w:r w:rsidR="006609C0" w:rsidRPr="006609C0">
        <w:rPr>
          <w:b/>
        </w:rPr>
        <w:t xml:space="preserve">1.1.5 </w:t>
      </w:r>
      <w:r w:rsidRPr="006609C0">
        <w:rPr>
          <w:b/>
        </w:rPr>
        <w:t xml:space="preserve"> Descrierea cerințelor de intervenție care asigură o contribuție eficace sau efectiva la punerea in aplicare</w:t>
      </w:r>
      <w:r w:rsidR="00AD13C8" w:rsidRPr="006609C0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57A08" w:rsidRDefault="00B525B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en-US"/>
        </w:rPr>
      </w:pPr>
      <w:r w:rsidRPr="00C26229">
        <w:rPr>
          <w:color w:val="000000" w:themeColor="text1"/>
        </w:rPr>
        <w:t xml:space="preserve">Obiectivul </w:t>
      </w:r>
      <w:r w:rsidR="00C26229" w:rsidRPr="00C26229">
        <w:rPr>
          <w:color w:val="000000" w:themeColor="text1"/>
          <w:lang w:val="ro-RO"/>
        </w:rPr>
        <w:t xml:space="preserve">intervenției este de a </w:t>
      </w:r>
      <w:r w:rsidR="00157A08">
        <w:rPr>
          <w:color w:val="000000" w:themeColor="text1"/>
          <w:lang w:val="ro-RO"/>
        </w:rPr>
        <w:t>implica organizațiile de producători de fructe și legume în punerea în aplicare a unor operațiuni inovatoare</w:t>
      </w:r>
      <w:r w:rsidR="00157A08">
        <w:rPr>
          <w:color w:val="000000" w:themeColor="text1"/>
          <w:lang w:val="en-US"/>
        </w:rPr>
        <w:t>: metode de producție durabile,</w:t>
      </w:r>
      <w:r w:rsidR="00DA1DA9" w:rsidRPr="00DA1DA9">
        <w:rPr>
          <w:color w:val="000000" w:themeColor="text1"/>
        </w:rPr>
        <w:t xml:space="preserve"> </w:t>
      </w:r>
      <w:r w:rsidR="00DA1DA9">
        <w:rPr>
          <w:color w:val="000000" w:themeColor="text1"/>
        </w:rPr>
        <w:t>atenuarea schimbărilor climatice și adaptarea la acestea,</w:t>
      </w:r>
      <w:r w:rsidR="00157A08">
        <w:rPr>
          <w:color w:val="000000" w:themeColor="text1"/>
          <w:lang w:val="en-US"/>
        </w:rPr>
        <w:t xml:space="preserve"> cercetare, tehnologie și digitalizare.</w:t>
      </w:r>
    </w:p>
    <w:p w:rsidR="00C26229" w:rsidRPr="00C26229" w:rsidRDefault="00157A08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>
        <w:rPr>
          <w:color w:val="000000" w:themeColor="text1"/>
        </w:rPr>
        <w:t xml:space="preserve"> </w:t>
      </w:r>
      <w:r w:rsidR="00C26229">
        <w:rPr>
          <w:color w:val="000000" w:themeColor="text1"/>
        </w:rPr>
        <w:t>Obiectiv specific Nu sunt prevăzute criterii de selecție.</w:t>
      </w:r>
    </w:p>
    <w:p w:rsidR="00802753" w:rsidRPr="006609C0" w:rsidRDefault="006609C0" w:rsidP="001403F4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6609C0">
        <w:rPr>
          <w:b/>
        </w:rPr>
        <w:t xml:space="preserve">1.1.6 </w:t>
      </w:r>
      <w:r w:rsidR="009D37A8" w:rsidRPr="006609C0">
        <w:rPr>
          <w:b/>
        </w:rPr>
        <w:t>Descrierea conditiilor de eligibilitate</w:t>
      </w:r>
    </w:p>
    <w:p w:rsidR="00D64955" w:rsidRPr="00CB793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Organiza</w:t>
      </w:r>
      <w:r w:rsidR="007A765F">
        <w:rPr>
          <w:noProof/>
          <w:color w:val="000000" w:themeColor="text1"/>
        </w:rPr>
        <w:t>țiile de producători</w:t>
      </w:r>
      <w:r w:rsidRPr="00CB7935">
        <w:rPr>
          <w:noProof/>
          <w:color w:val="000000" w:themeColor="text1"/>
        </w:rPr>
        <w:t xml:space="preserve"> de fructe și legume care pun în aplicare un program operațional aprobat pot solicita sprijin în cadrul intervenției.</w:t>
      </w:r>
    </w:p>
    <w:p w:rsidR="006A596C" w:rsidRDefault="00D64955" w:rsidP="00157A08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CB7935">
        <w:rPr>
          <w:noProof/>
          <w:color w:val="000000" w:themeColor="text1"/>
        </w:rPr>
        <w:t>Sprijinul va fi acordat pe baza unei cereri depuse în mod corespunzator și a anexelor, inclusiv a unei facturi pentru costurile eligibile.</w:t>
      </w:r>
      <w:r w:rsidR="006A596C" w:rsidRPr="006A596C">
        <w:rPr>
          <w:color w:val="000000" w:themeColor="text1"/>
        </w:rPr>
        <w:t xml:space="preserve"> </w:t>
      </w:r>
    </w:p>
    <w:p w:rsidR="00CE373B" w:rsidRDefault="00CE373B" w:rsidP="00CE373B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sectorului fructe legume menționat la art. 42 lit. a) precum </w:t>
      </w:r>
      <w:r>
        <w:rPr>
          <w:noProof/>
          <w:color w:val="000000" w:themeColor="text1"/>
          <w:lang w:val="ro-RO"/>
        </w:rPr>
        <w:t>și prevederilor</w:t>
      </w:r>
      <w:r>
        <w:rPr>
          <w:noProof/>
          <w:color w:val="000000" w:themeColor="text1"/>
        </w:rPr>
        <w:t xml:space="preserve"> articolului 43 din </w:t>
      </w:r>
      <w:r>
        <w:rPr>
          <w:color w:val="000000" w:themeColor="text1"/>
          <w:lang w:val="ro-RO"/>
        </w:rPr>
        <w:t>Regulamentul (UE) nr. 2115/2021.</w:t>
      </w:r>
    </w:p>
    <w:p w:rsidR="00CE373B" w:rsidRDefault="00CE373B" w:rsidP="00CE373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>
        <w:rPr>
          <w:color w:val="000000" w:themeColor="text1"/>
        </w:rPr>
        <w:t>Acest tip de interven</w:t>
      </w:r>
      <w:r>
        <w:rPr>
          <w:color w:val="000000" w:themeColor="text1"/>
          <w:lang w:val="ro-RO"/>
        </w:rPr>
        <w:t>ție care vizează cercetareași dezvoltarea corespunde intervențiilor de la art. 47 alin. (1) lit. a) din Regulamentul (UE) nr. 2115/2021.</w:t>
      </w:r>
    </w:p>
    <w:p w:rsidR="00B47BB2" w:rsidRDefault="00B47BB2" w:rsidP="00B47BB2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r>
        <w:rPr>
          <w:color w:val="000000" w:themeColor="text1"/>
        </w:rPr>
        <w:t>Pentru fiecare PO  trebuie să se respecte următoarele</w:t>
      </w:r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cel puțin 15% din cheltuieli trebuie să vizeze  acțiuni legate de mediu, </w:t>
      </w:r>
      <w:r>
        <w:rPr>
          <w:color w:val="000000" w:themeColor="text1"/>
          <w:lang w:val="en-US"/>
        </w:rPr>
        <w:t xml:space="preserve">să </w:t>
      </w:r>
      <w:r>
        <w:rPr>
          <w:color w:val="000000" w:themeColor="text1"/>
        </w:rPr>
        <w:t xml:space="preserve">cuprindă cel puțin trei acțiuni legate de mediu </w:t>
      </w:r>
      <w:r>
        <w:rPr>
          <w:color w:val="000000" w:themeColor="text1"/>
          <w:lang w:val="ro-RO"/>
        </w:rPr>
        <w:t xml:space="preserve">și </w:t>
      </w:r>
      <w:r>
        <w:rPr>
          <w:color w:val="000000" w:themeColor="text1"/>
        </w:rPr>
        <w:t xml:space="preserve">cel puțin 2% din cheltuieli  să vizeze intervenții legate de cercetare, iar cheltuielile privind </w:t>
      </w:r>
      <w:r>
        <w:rPr>
          <w:noProof/>
          <w:color w:val="000000" w:themeColor="text1"/>
        </w:rPr>
        <w:t>produsele retrase de pe piață,</w:t>
      </w:r>
      <w:r>
        <w:rPr>
          <w:color w:val="000000" w:themeColor="text1"/>
        </w:rPr>
        <w:t xml:space="preserve"> recoltarea înainte de coacere și nerecoltarea s</w:t>
      </w:r>
      <w:r>
        <w:rPr>
          <w:color w:val="000000" w:themeColor="text1"/>
          <w:lang w:val="ro-RO"/>
        </w:rPr>
        <w:t xml:space="preserve">ă nu depășească o treime din totalul cheltuielilor </w:t>
      </w:r>
      <w:r>
        <w:rPr>
          <w:color w:val="000000" w:themeColor="text1"/>
        </w:rPr>
        <w:t xml:space="preserve">(art. 50 alin. (7) lit. a), b), c) și d) din </w:t>
      </w:r>
      <w:r>
        <w:rPr>
          <w:color w:val="000000" w:themeColor="text1"/>
          <w:lang w:val="ro-RO"/>
        </w:rPr>
        <w:t>Regulamentul (UE) nr. 2115/2021.</w:t>
      </w:r>
    </w:p>
    <w:p w:rsidR="00157A08" w:rsidRDefault="00157A08" w:rsidP="00157A08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i/>
          <w:color w:val="000000" w:themeColor="text1"/>
        </w:rPr>
      </w:pPr>
      <w:r w:rsidRPr="00C90F9F">
        <w:rPr>
          <w:color w:val="000000" w:themeColor="text1"/>
        </w:rPr>
        <w:t xml:space="preserve">Acțiunile eligibile sunt cele prevăzute în Anexa III </w:t>
      </w:r>
      <w:r w:rsidRPr="00C90F9F">
        <w:rPr>
          <w:i/>
          <w:color w:val="000000" w:themeColor="text1"/>
        </w:rPr>
        <w:t>– Lista neexhaustivă a tipurilor de cheltuieli eligibile în cadrul intervențiilor sectoriale</w:t>
      </w:r>
      <w:r w:rsidRPr="00C90F9F">
        <w:rPr>
          <w:color w:val="000000" w:themeColor="text1"/>
        </w:rPr>
        <w:t xml:space="preserve"> menționate la art. 22 din propunerea de </w:t>
      </w:r>
      <w:r w:rsidRPr="00C90F9F">
        <w:rPr>
          <w:i/>
          <w:color w:val="000000" w:themeColor="text1"/>
        </w:rPr>
        <w:t xml:space="preserve">Regulament Delegat (UE) al Comisiei de completare a Regulamentului </w:t>
      </w:r>
      <w:r w:rsidR="00CE6263">
        <w:rPr>
          <w:color w:val="000000" w:themeColor="text1"/>
          <w:lang w:val="ro-RO"/>
        </w:rPr>
        <w:t xml:space="preserve"> </w:t>
      </w:r>
      <w:r w:rsidR="00CE6263" w:rsidRPr="00033D0B">
        <w:rPr>
          <w:i/>
          <w:color w:val="000000" w:themeColor="text1"/>
          <w:lang w:val="ro-RO"/>
        </w:rPr>
        <w:t>(UE) nr. 2115/</w:t>
      </w:r>
      <w:r w:rsidR="00033D0B">
        <w:rPr>
          <w:i/>
          <w:color w:val="000000" w:themeColor="text1"/>
          <w:lang w:val="ro-RO"/>
        </w:rPr>
        <w:t>2021.</w:t>
      </w:r>
    </w:p>
    <w:p w:rsidR="00FB319C" w:rsidRPr="00C90F9F" w:rsidRDefault="00157A08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C90F9F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C90F9F">
        <w:rPr>
          <w:color w:val="000000" w:themeColor="text1"/>
        </w:rPr>
        <w:t xml:space="preserve">din propunerea de </w:t>
      </w:r>
      <w:r w:rsidRPr="00C90F9F">
        <w:rPr>
          <w:i/>
          <w:color w:val="000000" w:themeColor="text1"/>
        </w:rPr>
        <w:t>Regulament Delegat (UE) al Comisiei</w:t>
      </w:r>
      <w:r w:rsidR="00033D0B">
        <w:rPr>
          <w:i/>
          <w:color w:val="000000" w:themeColor="text1"/>
        </w:rPr>
        <w:t xml:space="preserve"> de completare a Regulamentului </w:t>
      </w:r>
      <w:r w:rsidR="00033D0B" w:rsidRPr="00033D0B">
        <w:rPr>
          <w:i/>
          <w:color w:val="000000" w:themeColor="text1"/>
          <w:lang w:val="ro-RO"/>
        </w:rPr>
        <w:t>(UE) nr. 2115/</w:t>
      </w:r>
      <w:r w:rsidR="00033D0B" w:rsidRPr="00033D0B">
        <w:rPr>
          <w:i/>
          <w:color w:val="000000" w:themeColor="text1"/>
        </w:rPr>
        <w:t>2021</w:t>
      </w:r>
      <w:r w:rsidRPr="00C90F9F">
        <w:rPr>
          <w:i/>
          <w:color w:val="000000" w:themeColor="text1"/>
        </w:rPr>
        <w:t>.</w:t>
      </w:r>
    </w:p>
    <w:p w:rsidR="00802753" w:rsidRPr="006609C0" w:rsidRDefault="006609C0" w:rsidP="00CB7935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56" w:name="_Toc77173494"/>
      <w:bookmarkStart w:id="57" w:name="_Toc77675088"/>
      <w:bookmarkStart w:id="58" w:name="_Toc78293388"/>
      <w:bookmarkStart w:id="59" w:name="_Toc78296331"/>
      <w:bookmarkStart w:id="60" w:name="_Toc78379336"/>
      <w:bookmarkStart w:id="61" w:name="_Toc78384988"/>
      <w:bookmarkStart w:id="62" w:name="_Toc78389848"/>
      <w:bookmarkStart w:id="63" w:name="_Toc81568683"/>
      <w:bookmarkStart w:id="64" w:name="_Toc81569471"/>
      <w:bookmarkStart w:id="65" w:name="_Toc81572456"/>
      <w:bookmarkStart w:id="66" w:name="_Toc86137180"/>
      <w:r w:rsidRPr="006609C0">
        <w:rPr>
          <w:b/>
        </w:rPr>
        <w:t xml:space="preserve">1.1.7 </w:t>
      </w:r>
      <w:r w:rsidR="00CB7935" w:rsidRPr="006609C0">
        <w:rPr>
          <w:b/>
        </w:rPr>
        <w:t xml:space="preserve">Forma si rata sprijinului 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B7935" w:rsidRPr="00C864DC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r w:rsidRPr="00C864DC">
        <w:rPr>
          <w:color w:val="000000" w:themeColor="text1"/>
          <w:lang w:val="en-US"/>
        </w:rPr>
        <w:t>Ajutorul ia forma rambursării unei părți din costurile eligibile ale investiției.</w:t>
      </w:r>
    </w:p>
    <w:p w:rsidR="00873C46" w:rsidRPr="00C864DC" w:rsidRDefault="00CB7935" w:rsidP="00873C46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C864DC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operaționale, limitate la 50 % </w:t>
      </w:r>
      <w:r w:rsidR="00873C46" w:rsidRPr="00C864DC">
        <w:rPr>
          <w:color w:val="000000" w:themeColor="text1"/>
          <w:lang w:val="ro-RO"/>
        </w:rPr>
        <w:t xml:space="preserve"> (până la 60%) </w:t>
      </w:r>
      <w:r w:rsidRPr="00C864DC">
        <w:rPr>
          <w:color w:val="000000" w:themeColor="text1"/>
          <w:lang w:val="ro-RO"/>
        </w:rPr>
        <w:t>din cheltuielile efective suportate</w:t>
      </w:r>
      <w:r w:rsidR="00873C46" w:rsidRPr="00C864DC">
        <w:rPr>
          <w:color w:val="000000" w:themeColor="text1"/>
          <w:lang w:val="ro-RO"/>
        </w:rPr>
        <w:t xml:space="preserve"> pentru finanțarea programelor operaționale</w:t>
      </w:r>
      <w:r w:rsidRPr="00C864DC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C864DC">
        <w:rPr>
          <w:color w:val="000000" w:themeColor="text1"/>
          <w:lang w:val="ro-RO"/>
        </w:rPr>
        <w:t>(</w:t>
      </w:r>
      <w:r w:rsidR="00873C46" w:rsidRPr="00C864DC">
        <w:rPr>
          <w:color w:val="000000" w:themeColor="text1"/>
          <w:lang w:val="en-US"/>
        </w:rPr>
        <w:t>+0.5</w:t>
      </w:r>
      <w:r w:rsidR="00873C46" w:rsidRPr="00C864DC">
        <w:rPr>
          <w:color w:val="000000" w:themeColor="text1"/>
          <w:lang w:val="ro-RO"/>
        </w:rPr>
        <w:t xml:space="preserve">% pentru măsurile de gestionare a crizelor) din producţia comercializată (VPC) în perioada de referinţă </w:t>
      </w:r>
      <w:r w:rsidRPr="00C864DC">
        <w:rPr>
          <w:color w:val="000000" w:themeColor="text1"/>
          <w:lang w:val="ro-RO"/>
        </w:rPr>
        <w:t>din valoarea producției comercializate (VPC) a fiecărei organizații de producători</w:t>
      </w:r>
      <w:r w:rsidR="00864C01">
        <w:rPr>
          <w:color w:val="000000" w:themeColor="text1"/>
          <w:lang w:val="ro-RO"/>
        </w:rPr>
        <w:t xml:space="preserve">. </w:t>
      </w:r>
    </w:p>
    <w:p w:rsidR="00802753" w:rsidRPr="006609C0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67" w:name="_Toc77173495"/>
      <w:bookmarkStart w:id="68" w:name="_Toc77675089"/>
      <w:bookmarkStart w:id="69" w:name="_Toc78293389"/>
      <w:bookmarkStart w:id="70" w:name="_Toc78296332"/>
      <w:bookmarkStart w:id="71" w:name="_Toc78379337"/>
      <w:bookmarkStart w:id="72" w:name="_Toc78384989"/>
      <w:bookmarkStart w:id="73" w:name="_Toc78389849"/>
      <w:bookmarkStart w:id="74" w:name="_Toc81568684"/>
      <w:bookmarkStart w:id="75" w:name="_Toc81569472"/>
      <w:bookmarkStart w:id="76" w:name="_Toc81572457"/>
      <w:bookmarkStart w:id="77" w:name="_Toc86137181"/>
      <w:r w:rsidRPr="006609C0">
        <w:rPr>
          <w:b/>
        </w:rPr>
        <w:lastRenderedPageBreak/>
        <w:t xml:space="preserve">           </w:t>
      </w:r>
      <w:r w:rsidR="006609C0" w:rsidRPr="006609C0">
        <w:rPr>
          <w:b/>
        </w:rPr>
        <w:t xml:space="preserve">1.1.8 </w:t>
      </w:r>
      <w:r w:rsidRPr="006609C0">
        <w:rPr>
          <w:b/>
        </w:rPr>
        <w:t xml:space="preserve"> </w:t>
      </w:r>
      <w:r w:rsidR="00130223" w:rsidRPr="006609C0">
        <w:rPr>
          <w:b/>
        </w:rPr>
        <w:t>Informații suplimentare specifice tipului de intervenție</w:t>
      </w:r>
      <w:r w:rsidRPr="006609C0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802753" w:rsidRPr="004A2328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color w:val="2E74B5" w:themeColor="accent1" w:themeShade="BF"/>
        </w:rPr>
      </w:pPr>
    </w:p>
    <w:p w:rsidR="00802753" w:rsidRPr="006609C0" w:rsidRDefault="006609C0" w:rsidP="001F7ED6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6609C0">
        <w:rPr>
          <w:b/>
        </w:rPr>
        <w:t xml:space="preserve">1.1.9 </w:t>
      </w:r>
      <w:r w:rsidR="00130223" w:rsidRPr="006609C0">
        <w:rPr>
          <w:b/>
        </w:rPr>
        <w:t>Conformitatea cu OMC</w:t>
      </w:r>
      <w:r w:rsidR="001F7ED6" w:rsidRPr="006609C0">
        <w:rPr>
          <w:b/>
        </w:rPr>
        <w:t xml:space="preserve"> </w:t>
      </w:r>
    </w:p>
    <w:p w:rsidR="00532D76" w:rsidRPr="00532D76" w:rsidRDefault="00532D76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532D76">
        <w:rPr>
          <w:color w:val="000000" w:themeColor="text1"/>
        </w:rPr>
        <w:t xml:space="preserve">Cutia verde – punctul 2 </w:t>
      </w:r>
      <w:r w:rsidR="005F0941">
        <w:rPr>
          <w:color w:val="000000" w:themeColor="text1"/>
        </w:rPr>
        <w:t xml:space="preserve">, 11 sau 12 </w:t>
      </w:r>
      <w:r w:rsidRPr="00532D76">
        <w:rPr>
          <w:color w:val="000000" w:themeColor="text1"/>
        </w:rPr>
        <w:t>din anexa II la Regulamentul privind planul PAC</w:t>
      </w:r>
      <w:r w:rsidR="00864A0E">
        <w:rPr>
          <w:color w:val="000000" w:themeColor="text1"/>
        </w:rPr>
        <w:t>.</w:t>
      </w:r>
    </w:p>
    <w:p w:rsidR="00802753" w:rsidRPr="004A2328" w:rsidRDefault="00802753" w:rsidP="00802753">
      <w:pPr>
        <w:spacing w:after="0"/>
        <w:jc w:val="left"/>
      </w:pPr>
    </w:p>
    <w:p w:rsidR="00532B6F" w:rsidRPr="0010077A" w:rsidRDefault="00532B6F" w:rsidP="00532B6F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10077A">
        <w:rPr>
          <w:b/>
        </w:rPr>
        <w:t>Sume unitare planificate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Codul sumei unitare (SM)</w:t>
            </w:r>
          </w:p>
        </w:tc>
        <w:tc>
          <w:tcPr>
            <w:tcW w:w="5919" w:type="dxa"/>
          </w:tcPr>
          <w:p w:rsidR="00532B6F" w:rsidRPr="004A2328" w:rsidRDefault="00532B6F" w:rsidP="0012761B">
            <w:pPr>
              <w:spacing w:before="60" w:after="60"/>
            </w:pP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Codul bugetului sumei/unitate</w:t>
            </w:r>
          </w:p>
        </w:tc>
        <w:tc>
          <w:tcPr>
            <w:tcW w:w="5919" w:type="dxa"/>
          </w:tcPr>
          <w:p w:rsidR="00532B6F" w:rsidRPr="004A2328" w:rsidRDefault="00532B6F" w:rsidP="0012761B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Numele sumei pe unitate</w:t>
            </w:r>
          </w:p>
        </w:tc>
        <w:tc>
          <w:tcPr>
            <w:tcW w:w="5919" w:type="dxa"/>
          </w:tcPr>
          <w:p w:rsidR="00532B6F" w:rsidRPr="003E1428" w:rsidRDefault="00532B6F" w:rsidP="0012761B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E1428">
              <w:rPr>
                <w:color w:val="000000" w:themeColor="text1"/>
                <w:lang w:eastAsia="en-US"/>
              </w:rPr>
              <w:t>Cuantum unitar mediu</w:t>
            </w: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  <w:rPr>
                <w:color w:val="FF0000"/>
              </w:rPr>
            </w:pPr>
            <w:r>
              <w:t>Domeniul de aplicare teritorial</w:t>
            </w:r>
          </w:p>
        </w:tc>
        <w:tc>
          <w:tcPr>
            <w:tcW w:w="5919" w:type="dxa"/>
          </w:tcPr>
          <w:p w:rsidR="00532B6F" w:rsidRPr="003E1428" w:rsidRDefault="0046361B" w:rsidP="0012761B">
            <w:pPr>
              <w:spacing w:before="60" w:after="6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Naț</w:t>
            </w:r>
            <w:r w:rsidR="00532B6F" w:rsidRPr="003E1428">
              <w:rPr>
                <w:color w:val="000000" w:themeColor="text1"/>
                <w:lang w:eastAsia="en-US"/>
              </w:rPr>
              <w:t>ional</w:t>
            </w: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Tipul sumei bugetate</w:t>
            </w:r>
          </w:p>
        </w:tc>
        <w:tc>
          <w:tcPr>
            <w:tcW w:w="5919" w:type="dxa"/>
          </w:tcPr>
          <w:p w:rsidR="00532B6F" w:rsidRPr="003E1428" w:rsidRDefault="00532B6F" w:rsidP="0012761B">
            <w:pPr>
              <w:spacing w:before="60" w:after="6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M</w:t>
            </w:r>
            <w:r w:rsidRPr="003E1428">
              <w:rPr>
                <w:color w:val="000000" w:themeColor="text1"/>
                <w:lang w:eastAsia="en-US"/>
              </w:rPr>
              <w:t>edie</w:t>
            </w: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Valoare pentru primul an</w:t>
            </w:r>
            <w:r w:rsidRPr="004A2328">
              <w:tab/>
            </w:r>
          </w:p>
        </w:tc>
        <w:tc>
          <w:tcPr>
            <w:tcW w:w="5919" w:type="dxa"/>
          </w:tcPr>
          <w:p w:rsidR="00532B6F" w:rsidRPr="004A2328" w:rsidRDefault="00532B6F" w:rsidP="0012761B">
            <w:pPr>
              <w:spacing w:before="60" w:after="60"/>
              <w:rPr>
                <w:color w:val="1F497D"/>
                <w:lang w:eastAsia="en-US"/>
              </w:rPr>
            </w:pPr>
            <w:r>
              <w:t xml:space="preserve">Valoarea sumei bugetate planificate pe unitate pentru anul 2023 în euro: </w:t>
            </w:r>
            <w:r w:rsidRPr="00532B6F">
              <w:rPr>
                <w:b/>
              </w:rPr>
              <w:t xml:space="preserve">65.039,49 </w:t>
            </w:r>
            <w:r w:rsidRPr="00CD1251">
              <w:rPr>
                <w:b/>
              </w:rPr>
              <w:t xml:space="preserve">euro </w:t>
            </w:r>
            <w:r w:rsidR="0046361B">
              <w:t>și a fost stabilită pe baza experienței î</w:t>
            </w:r>
            <w:r w:rsidRPr="00623DA7">
              <w:t>n implementare.</w:t>
            </w: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  <w:jc w:val="left"/>
            </w:pPr>
            <w:r>
              <w:t>Unitatea de rezultat corespunzatoare (dacă este cazul)</w:t>
            </w:r>
          </w:p>
        </w:tc>
        <w:tc>
          <w:tcPr>
            <w:tcW w:w="5919" w:type="dxa"/>
          </w:tcPr>
          <w:p w:rsidR="00532B6F" w:rsidRPr="004A2328" w:rsidRDefault="00532B6F" w:rsidP="0012761B">
            <w:pPr>
              <w:spacing w:before="60" w:after="60"/>
            </w:pPr>
          </w:p>
        </w:tc>
      </w:tr>
      <w:tr w:rsidR="00532B6F" w:rsidRPr="004A2328" w:rsidTr="0012761B">
        <w:tc>
          <w:tcPr>
            <w:tcW w:w="4361" w:type="dxa"/>
          </w:tcPr>
          <w:p w:rsidR="00532B6F" w:rsidRPr="004A2328" w:rsidRDefault="00532B6F" w:rsidP="0012761B">
            <w:pPr>
              <w:spacing w:before="60" w:after="60"/>
            </w:pPr>
            <w:r>
              <w:t>Indicator de rezultat</w:t>
            </w:r>
          </w:p>
        </w:tc>
        <w:tc>
          <w:tcPr>
            <w:tcW w:w="5919" w:type="dxa"/>
          </w:tcPr>
          <w:p w:rsidR="00532B6F" w:rsidRPr="004A2328" w:rsidRDefault="00532B6F" w:rsidP="0012761B">
            <w:pPr>
              <w:spacing w:before="60" w:after="60"/>
            </w:pPr>
            <w:r>
              <w:t>R. 11</w:t>
            </w:r>
          </w:p>
        </w:tc>
      </w:tr>
    </w:tbl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sectPr w:rsidR="008A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E0AEA"/>
    <w:multiLevelType w:val="multilevel"/>
    <w:tmpl w:val="A838F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 w15:restartNumberingAfterBreak="0">
    <w:nsid w:val="5849326D"/>
    <w:multiLevelType w:val="multilevel"/>
    <w:tmpl w:val="824E72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05274"/>
    <w:rsid w:val="00033D0B"/>
    <w:rsid w:val="00037C83"/>
    <w:rsid w:val="00044287"/>
    <w:rsid w:val="0004719D"/>
    <w:rsid w:val="00056CB1"/>
    <w:rsid w:val="000E617A"/>
    <w:rsid w:val="000F454F"/>
    <w:rsid w:val="00130223"/>
    <w:rsid w:val="00131955"/>
    <w:rsid w:val="001403F4"/>
    <w:rsid w:val="00157A08"/>
    <w:rsid w:val="0016572E"/>
    <w:rsid w:val="00171A51"/>
    <w:rsid w:val="00187CB2"/>
    <w:rsid w:val="001B41D4"/>
    <w:rsid w:val="001C216F"/>
    <w:rsid w:val="001D3B37"/>
    <w:rsid w:val="001F501E"/>
    <w:rsid w:val="001F7ED6"/>
    <w:rsid w:val="0020483F"/>
    <w:rsid w:val="002130A3"/>
    <w:rsid w:val="002311DD"/>
    <w:rsid w:val="0026386E"/>
    <w:rsid w:val="002A245E"/>
    <w:rsid w:val="002B4016"/>
    <w:rsid w:val="002C4470"/>
    <w:rsid w:val="002C456D"/>
    <w:rsid w:val="002D566E"/>
    <w:rsid w:val="002E1CC8"/>
    <w:rsid w:val="002E1F6F"/>
    <w:rsid w:val="00306B8D"/>
    <w:rsid w:val="0032196B"/>
    <w:rsid w:val="00356759"/>
    <w:rsid w:val="00373B1F"/>
    <w:rsid w:val="003976EF"/>
    <w:rsid w:val="003B452B"/>
    <w:rsid w:val="00413D38"/>
    <w:rsid w:val="004376E7"/>
    <w:rsid w:val="0046361B"/>
    <w:rsid w:val="00494EE1"/>
    <w:rsid w:val="004A31E4"/>
    <w:rsid w:val="004A3CF8"/>
    <w:rsid w:val="004B4CB7"/>
    <w:rsid w:val="004C526E"/>
    <w:rsid w:val="00503C9A"/>
    <w:rsid w:val="005055CF"/>
    <w:rsid w:val="00513C94"/>
    <w:rsid w:val="00532B6F"/>
    <w:rsid w:val="00532D76"/>
    <w:rsid w:val="005533FE"/>
    <w:rsid w:val="005C5C84"/>
    <w:rsid w:val="005E33C2"/>
    <w:rsid w:val="005F0941"/>
    <w:rsid w:val="00617258"/>
    <w:rsid w:val="00631440"/>
    <w:rsid w:val="00637591"/>
    <w:rsid w:val="006609C0"/>
    <w:rsid w:val="0067267B"/>
    <w:rsid w:val="00680CF9"/>
    <w:rsid w:val="00683D11"/>
    <w:rsid w:val="00687430"/>
    <w:rsid w:val="006A403F"/>
    <w:rsid w:val="006A54BC"/>
    <w:rsid w:val="006A596C"/>
    <w:rsid w:val="006A6687"/>
    <w:rsid w:val="006D1EA5"/>
    <w:rsid w:val="00703CE5"/>
    <w:rsid w:val="0071058D"/>
    <w:rsid w:val="00711D47"/>
    <w:rsid w:val="007446C5"/>
    <w:rsid w:val="00762FC2"/>
    <w:rsid w:val="00775A9F"/>
    <w:rsid w:val="007A6B87"/>
    <w:rsid w:val="007A765F"/>
    <w:rsid w:val="00802753"/>
    <w:rsid w:val="00811782"/>
    <w:rsid w:val="00833982"/>
    <w:rsid w:val="00847F1E"/>
    <w:rsid w:val="008646B6"/>
    <w:rsid w:val="00864A0E"/>
    <w:rsid w:val="00864C01"/>
    <w:rsid w:val="00873C46"/>
    <w:rsid w:val="008A16BF"/>
    <w:rsid w:val="008D0776"/>
    <w:rsid w:val="008E4DF7"/>
    <w:rsid w:val="009346D9"/>
    <w:rsid w:val="00950524"/>
    <w:rsid w:val="009544EA"/>
    <w:rsid w:val="00964294"/>
    <w:rsid w:val="00965E4A"/>
    <w:rsid w:val="009D37A8"/>
    <w:rsid w:val="009F4A08"/>
    <w:rsid w:val="00A0391A"/>
    <w:rsid w:val="00A12CEC"/>
    <w:rsid w:val="00A17111"/>
    <w:rsid w:val="00A267BA"/>
    <w:rsid w:val="00A64D31"/>
    <w:rsid w:val="00A800F9"/>
    <w:rsid w:val="00AD13C8"/>
    <w:rsid w:val="00AE61A5"/>
    <w:rsid w:val="00AE73D3"/>
    <w:rsid w:val="00B043FD"/>
    <w:rsid w:val="00B04DC3"/>
    <w:rsid w:val="00B20643"/>
    <w:rsid w:val="00B25815"/>
    <w:rsid w:val="00B35399"/>
    <w:rsid w:val="00B47BB2"/>
    <w:rsid w:val="00B525B7"/>
    <w:rsid w:val="00B93D26"/>
    <w:rsid w:val="00BB6661"/>
    <w:rsid w:val="00BE2AF5"/>
    <w:rsid w:val="00BF4F48"/>
    <w:rsid w:val="00BF6B59"/>
    <w:rsid w:val="00C0590A"/>
    <w:rsid w:val="00C075E7"/>
    <w:rsid w:val="00C148FA"/>
    <w:rsid w:val="00C150DE"/>
    <w:rsid w:val="00C26229"/>
    <w:rsid w:val="00C864DC"/>
    <w:rsid w:val="00C90F9F"/>
    <w:rsid w:val="00CA6D10"/>
    <w:rsid w:val="00CB10DE"/>
    <w:rsid w:val="00CB7935"/>
    <w:rsid w:val="00CC445D"/>
    <w:rsid w:val="00CD1EE5"/>
    <w:rsid w:val="00CD5332"/>
    <w:rsid w:val="00CE373B"/>
    <w:rsid w:val="00CE6263"/>
    <w:rsid w:val="00CE7B59"/>
    <w:rsid w:val="00D25F17"/>
    <w:rsid w:val="00D272EC"/>
    <w:rsid w:val="00D3142D"/>
    <w:rsid w:val="00D42458"/>
    <w:rsid w:val="00D4326D"/>
    <w:rsid w:val="00D64955"/>
    <w:rsid w:val="00D902BA"/>
    <w:rsid w:val="00DA1DA9"/>
    <w:rsid w:val="00DA4F14"/>
    <w:rsid w:val="00DB71B6"/>
    <w:rsid w:val="00DF4A73"/>
    <w:rsid w:val="00E263A8"/>
    <w:rsid w:val="00E60232"/>
    <w:rsid w:val="00E813F3"/>
    <w:rsid w:val="00EA3CB2"/>
    <w:rsid w:val="00EF00D7"/>
    <w:rsid w:val="00F03835"/>
    <w:rsid w:val="00F11F89"/>
    <w:rsid w:val="00F151F4"/>
    <w:rsid w:val="00F20951"/>
    <w:rsid w:val="00F4106E"/>
    <w:rsid w:val="00F643A3"/>
    <w:rsid w:val="00F66D3F"/>
    <w:rsid w:val="00FA2F2E"/>
    <w:rsid w:val="00FB319C"/>
    <w:rsid w:val="00FB7B3A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2021-11-18T13:44:00Z</cp:lastPrinted>
  <dcterms:created xsi:type="dcterms:W3CDTF">2022-02-14T10:43:00Z</dcterms:created>
  <dcterms:modified xsi:type="dcterms:W3CDTF">2022-02-14T10:43:00Z</dcterms:modified>
</cp:coreProperties>
</file>